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401"/>
        <w:tblW w:w="15036" w:type="dxa"/>
        <w:tblLook w:val="04A0"/>
      </w:tblPr>
      <w:tblGrid>
        <w:gridCol w:w="2361"/>
        <w:gridCol w:w="3044"/>
        <w:gridCol w:w="3447"/>
        <w:gridCol w:w="3513"/>
        <w:gridCol w:w="2671"/>
      </w:tblGrid>
      <w:tr w:rsidR="006C3979" w:rsidTr="006C3979">
        <w:trPr>
          <w:trHeight w:val="620"/>
        </w:trPr>
        <w:tc>
          <w:tcPr>
            <w:tcW w:w="1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A454CF" w:rsidRDefault="006C3979" w:rsidP="006C3979">
            <w:pPr>
              <w:pStyle w:val="Default"/>
              <w:jc w:val="center"/>
              <w:rPr>
                <w:rFonts w:cs="Palatino Linotype"/>
                <w:bCs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6C3979" w:rsidRPr="00A454CF" w:rsidTr="000E3C3C">
        <w:trPr>
          <w:trHeight w:val="1036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bCs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>Class 12</w:t>
            </w:r>
          </w:p>
          <w:p w:rsidR="006C3979" w:rsidRPr="006C3979" w:rsidRDefault="000E3C3C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>
              <w:rPr>
                <w:rFonts w:cs="Palatino Linotype"/>
                <w:bCs/>
                <w:sz w:val="28"/>
                <w:szCs w:val="28"/>
              </w:rPr>
              <w:t>Accountancy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Week1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Week2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Week3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Week4 </w:t>
            </w:r>
          </w:p>
        </w:tc>
      </w:tr>
      <w:tr w:rsidR="000E3C3C" w:rsidRPr="008A239D" w:rsidTr="000E3C3C">
        <w:trPr>
          <w:trHeight w:val="1036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C" w:rsidRPr="006C3979" w:rsidRDefault="000E3C3C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C" w:rsidRPr="000E3C3C" w:rsidRDefault="000E3C3C" w:rsidP="000E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C" w:rsidRPr="000E3C3C" w:rsidRDefault="000E3C3C" w:rsidP="000E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3C">
              <w:rPr>
                <w:rFonts w:ascii="Times New Roman" w:hAnsi="Times New Roman" w:cs="Times New Roman"/>
                <w:sz w:val="28"/>
                <w:szCs w:val="28"/>
              </w:rPr>
              <w:t xml:space="preserve">Format of Balance Sheet of a company, </w:t>
            </w:r>
          </w:p>
          <w:p w:rsidR="000E3C3C" w:rsidRPr="000E3C3C" w:rsidRDefault="000E3C3C" w:rsidP="000E3C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C3C">
              <w:rPr>
                <w:rFonts w:ascii="Times New Roman" w:hAnsi="Times New Roman" w:cs="Times New Roman"/>
                <w:b/>
                <w:sz w:val="28"/>
                <w:szCs w:val="28"/>
              </w:rPr>
              <w:t>Comparative Statement</w:t>
            </w:r>
          </w:p>
          <w:p w:rsidR="000E3C3C" w:rsidRPr="000E3C3C" w:rsidRDefault="000E3C3C" w:rsidP="000E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3C">
              <w:rPr>
                <w:rFonts w:ascii="Times New Roman" w:hAnsi="Times New Roman" w:cs="Times New Roman"/>
                <w:sz w:val="28"/>
                <w:szCs w:val="28"/>
              </w:rPr>
              <w:t>Common size statement Common Size statement</w:t>
            </w:r>
          </w:p>
          <w:p w:rsidR="000E3C3C" w:rsidRPr="000E3C3C" w:rsidRDefault="000E3C3C" w:rsidP="000E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3C">
              <w:rPr>
                <w:rFonts w:ascii="Times New Roman" w:hAnsi="Times New Roman" w:cs="Times New Roman"/>
                <w:b/>
                <w:sz w:val="28"/>
                <w:szCs w:val="28"/>
              </w:rPr>
              <w:t>Ratio Analysis</w:t>
            </w:r>
            <w:r w:rsidRPr="000E3C3C">
              <w:rPr>
                <w:rFonts w:ascii="Times New Roman" w:hAnsi="Times New Roman" w:cs="Times New Roman"/>
                <w:sz w:val="28"/>
                <w:szCs w:val="28"/>
              </w:rPr>
              <w:t>-objectives and classification</w:t>
            </w:r>
          </w:p>
          <w:p w:rsidR="000E3C3C" w:rsidRPr="000E3C3C" w:rsidRDefault="000E3C3C" w:rsidP="000E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3C">
              <w:rPr>
                <w:rFonts w:ascii="Times New Roman" w:hAnsi="Times New Roman" w:cs="Times New Roman"/>
                <w:sz w:val="28"/>
                <w:szCs w:val="28"/>
              </w:rPr>
              <w:t>Liquidity ratios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C" w:rsidRDefault="000E3C3C" w:rsidP="000E3C3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0E3C3C" w:rsidRDefault="000E3C3C" w:rsidP="000E3C3C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Solvency Ratio</w:t>
            </w:r>
          </w:p>
          <w:p w:rsidR="000E3C3C" w:rsidRDefault="000E3C3C" w:rsidP="000E3C3C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Turnover Ratio</w:t>
            </w:r>
          </w:p>
          <w:p w:rsidR="000E3C3C" w:rsidRDefault="000E3C3C" w:rsidP="000E3C3C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C" w:rsidRDefault="000E3C3C" w:rsidP="000E3C3C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Profitability Ratio Ratio Analysis</w:t>
            </w:r>
          </w:p>
          <w:p w:rsidR="000E3C3C" w:rsidRDefault="000E3C3C" w:rsidP="000E3C3C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Comprehensive Problems</w:t>
            </w:r>
          </w:p>
        </w:tc>
      </w:tr>
      <w:tr w:rsidR="000E3C3C" w:rsidRPr="008A239D" w:rsidTr="000E3C3C">
        <w:trPr>
          <w:trHeight w:val="1036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C" w:rsidRPr="006C3979" w:rsidRDefault="000E3C3C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C" w:rsidRPr="000E3C3C" w:rsidRDefault="000E3C3C" w:rsidP="000E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3C">
              <w:rPr>
                <w:rFonts w:ascii="Times New Roman" w:hAnsi="Times New Roman" w:cs="Times New Roman"/>
                <w:sz w:val="28"/>
                <w:szCs w:val="28"/>
              </w:rPr>
              <w:t>Ratio Analysis Comprehensive Problems</w:t>
            </w:r>
          </w:p>
          <w:p w:rsidR="000E3C3C" w:rsidRPr="000E3C3C" w:rsidRDefault="000E3C3C" w:rsidP="000E3C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C3C">
              <w:rPr>
                <w:rFonts w:ascii="Times New Roman" w:hAnsi="Times New Roman" w:cs="Times New Roman"/>
                <w:b/>
                <w:sz w:val="28"/>
                <w:szCs w:val="28"/>
              </w:rPr>
              <w:t>Cash Flow Statement</w:t>
            </w:r>
          </w:p>
          <w:p w:rsidR="000E3C3C" w:rsidRPr="000E3C3C" w:rsidRDefault="000E3C3C" w:rsidP="000E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3C">
              <w:rPr>
                <w:rFonts w:ascii="Times New Roman" w:hAnsi="Times New Roman" w:cs="Times New Roman"/>
                <w:sz w:val="28"/>
                <w:szCs w:val="28"/>
              </w:rPr>
              <w:t>Meaning, objectives and uses.</w:t>
            </w:r>
          </w:p>
          <w:p w:rsidR="000E3C3C" w:rsidRPr="000E3C3C" w:rsidRDefault="000E3C3C" w:rsidP="000E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3C">
              <w:rPr>
                <w:rFonts w:ascii="Times New Roman" w:hAnsi="Times New Roman" w:cs="Times New Roman"/>
                <w:sz w:val="28"/>
                <w:szCs w:val="28"/>
              </w:rPr>
              <w:t>Types of activities</w:t>
            </w:r>
          </w:p>
          <w:p w:rsidR="000E3C3C" w:rsidRPr="000E3C3C" w:rsidRDefault="000E3C3C" w:rsidP="000E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3C">
              <w:rPr>
                <w:rFonts w:ascii="Times New Roman" w:hAnsi="Times New Roman" w:cs="Times New Roman"/>
                <w:sz w:val="28"/>
                <w:szCs w:val="28"/>
              </w:rPr>
              <w:t>Format of CFS as per AS3</w:t>
            </w:r>
          </w:p>
          <w:p w:rsidR="000E3C3C" w:rsidRPr="000E3C3C" w:rsidRDefault="000E3C3C" w:rsidP="000E3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C3C" w:rsidRPr="000E3C3C" w:rsidRDefault="000E3C3C" w:rsidP="000E3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C" w:rsidRPr="000E3C3C" w:rsidRDefault="000E3C3C" w:rsidP="000E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3C">
              <w:rPr>
                <w:rFonts w:ascii="Times New Roman" w:hAnsi="Times New Roman" w:cs="Times New Roman"/>
                <w:sz w:val="28"/>
                <w:szCs w:val="28"/>
              </w:rPr>
              <w:t>Preparation of Cash Flow Statement as per AS3 revised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C" w:rsidRPr="008E0AA7" w:rsidRDefault="000E3C3C" w:rsidP="000E3C3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8E0AA7">
              <w:rPr>
                <w:rFonts w:ascii="Andalus" w:hAnsi="Andalus" w:cs="Andalus"/>
                <w:b/>
                <w:sz w:val="28"/>
                <w:szCs w:val="28"/>
              </w:rPr>
              <w:t>Share capital</w:t>
            </w:r>
          </w:p>
          <w:p w:rsidR="000E3C3C" w:rsidRDefault="000E3C3C" w:rsidP="000E3C3C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Sharecapital and related terms,</w:t>
            </w:r>
          </w:p>
          <w:p w:rsidR="000E3C3C" w:rsidRDefault="000E3C3C" w:rsidP="000E3C3C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Issue of shares at par premium and discount,</w:t>
            </w:r>
          </w:p>
          <w:p w:rsidR="000E3C3C" w:rsidRDefault="000E3C3C" w:rsidP="000E3C3C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Over subscription and Under subscription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C" w:rsidRDefault="000E3C3C" w:rsidP="000E3C3C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Calls in advance and arrears</w:t>
            </w:r>
          </w:p>
          <w:p w:rsidR="000E3C3C" w:rsidRDefault="000E3C3C" w:rsidP="000E3C3C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Issue of shares for consideration other than cashAccounting treatmentof forfeiture and re-issue of shares</w:t>
            </w:r>
          </w:p>
          <w:p w:rsidR="000E3C3C" w:rsidRDefault="000E3C3C" w:rsidP="000E3C3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0E3C3C" w:rsidRDefault="000E3C3C" w:rsidP="000E3C3C">
            <w:pPr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0E3C3C" w:rsidRPr="00764495" w:rsidTr="000E3C3C">
        <w:trPr>
          <w:trHeight w:val="1036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C" w:rsidRPr="006C3979" w:rsidRDefault="000E3C3C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C" w:rsidRPr="000E3C3C" w:rsidRDefault="000E3C3C" w:rsidP="000E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3C">
              <w:rPr>
                <w:rFonts w:ascii="Times New Roman" w:hAnsi="Times New Roman" w:cs="Times New Roman"/>
                <w:sz w:val="28"/>
                <w:szCs w:val="28"/>
              </w:rPr>
              <w:t>Solving comprehensive</w:t>
            </w:r>
          </w:p>
          <w:p w:rsidR="000E3C3C" w:rsidRPr="000E3C3C" w:rsidRDefault="000E3C3C" w:rsidP="000E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3C">
              <w:rPr>
                <w:rFonts w:ascii="Times New Roman" w:hAnsi="Times New Roman" w:cs="Times New Roman"/>
                <w:sz w:val="28"/>
                <w:szCs w:val="28"/>
              </w:rPr>
              <w:t>ProblemsDisclosure of sharecapital in Company’sBalance Sheet</w:t>
            </w:r>
          </w:p>
          <w:p w:rsidR="000E3C3C" w:rsidRPr="000E3C3C" w:rsidRDefault="000E3C3C" w:rsidP="000E3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C3C" w:rsidRPr="000E3C3C" w:rsidRDefault="000E3C3C" w:rsidP="000E3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C" w:rsidRPr="000E3C3C" w:rsidRDefault="000E3C3C" w:rsidP="000E3C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C3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Debentures</w:t>
            </w:r>
          </w:p>
          <w:p w:rsidR="000E3C3C" w:rsidRPr="000E3C3C" w:rsidRDefault="000E3C3C" w:rsidP="000E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3C">
              <w:rPr>
                <w:rFonts w:ascii="Times New Roman" w:hAnsi="Times New Roman" w:cs="Times New Roman"/>
                <w:sz w:val="28"/>
                <w:szCs w:val="28"/>
              </w:rPr>
              <w:t>Issue of debentures at par, premium and discount.</w:t>
            </w:r>
          </w:p>
          <w:p w:rsidR="000E3C3C" w:rsidRPr="000E3C3C" w:rsidRDefault="000E3C3C" w:rsidP="000E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3C">
              <w:rPr>
                <w:rFonts w:ascii="Times New Roman" w:hAnsi="Times New Roman" w:cs="Times New Roman"/>
                <w:sz w:val="28"/>
                <w:szCs w:val="28"/>
              </w:rPr>
              <w:t xml:space="preserve">Issue of debentures for consideration other than </w:t>
            </w:r>
            <w:r w:rsidRPr="000E3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Cash</w:t>
            </w:r>
          </w:p>
          <w:p w:rsidR="000E3C3C" w:rsidRPr="000E3C3C" w:rsidRDefault="000E3C3C" w:rsidP="000E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3C">
              <w:rPr>
                <w:rFonts w:ascii="Times New Roman" w:hAnsi="Times New Roman" w:cs="Times New Roman"/>
                <w:sz w:val="28"/>
                <w:szCs w:val="28"/>
              </w:rPr>
              <w:t xml:space="preserve">Debentures as </w:t>
            </w:r>
          </w:p>
          <w:p w:rsidR="000E3C3C" w:rsidRPr="000E3C3C" w:rsidRDefault="000E3C3C" w:rsidP="000E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3C">
              <w:rPr>
                <w:rFonts w:ascii="Times New Roman" w:hAnsi="Times New Roman" w:cs="Times New Roman"/>
                <w:sz w:val="28"/>
                <w:szCs w:val="28"/>
              </w:rPr>
              <w:t>Collateral Security</w:t>
            </w:r>
          </w:p>
          <w:p w:rsidR="000E3C3C" w:rsidRPr="000E3C3C" w:rsidRDefault="000E3C3C" w:rsidP="000E3C3C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</w:p>
          <w:p w:rsidR="000E3C3C" w:rsidRPr="000E3C3C" w:rsidRDefault="000E3C3C" w:rsidP="000E3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C" w:rsidRPr="008E0AA7" w:rsidRDefault="000E3C3C" w:rsidP="000E3C3C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0E3C3C" w:rsidRDefault="000E3C3C" w:rsidP="000E3C3C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-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C" w:rsidRDefault="000E3C3C" w:rsidP="000E3C3C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-</w:t>
            </w:r>
          </w:p>
        </w:tc>
      </w:tr>
      <w:tr w:rsidR="000E3C3C" w:rsidRPr="00764495" w:rsidTr="000E3C3C">
        <w:trPr>
          <w:trHeight w:val="1036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C" w:rsidRPr="007B35D8" w:rsidRDefault="000E3C3C" w:rsidP="007B35D8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7B35D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JULY</w:t>
            </w:r>
          </w:p>
          <w:p w:rsidR="000E3C3C" w:rsidRPr="00E374C6" w:rsidRDefault="000E3C3C" w:rsidP="006D02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4C6">
              <w:rPr>
                <w:rFonts w:ascii="Andalus" w:hAnsi="Andalus" w:cs="Andalus"/>
                <w:sz w:val="20"/>
                <w:szCs w:val="20"/>
              </w:rPr>
              <w:t>(</w:t>
            </w:r>
            <w:r w:rsidRPr="00E374C6">
              <w:rPr>
                <w:rFonts w:ascii="Times New Roman" w:hAnsi="Times New Roman"/>
                <w:sz w:val="20"/>
                <w:szCs w:val="20"/>
              </w:rPr>
              <w:t>assignment/projects)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C" w:rsidRPr="00E374C6" w:rsidRDefault="000E3C3C" w:rsidP="006D028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C" w:rsidRPr="00E374C6" w:rsidRDefault="000E3C3C" w:rsidP="006D0288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C" w:rsidRPr="00E770FF" w:rsidRDefault="000E3C3C" w:rsidP="006D0288">
            <w:pPr>
              <w:pStyle w:val="Heading2"/>
              <w:outlineLvl w:val="1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C" w:rsidRPr="00B231C6" w:rsidRDefault="000E3C3C" w:rsidP="006D0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E8E" w:rsidRDefault="00053E8E" w:rsidP="0086685F">
      <w:pPr>
        <w:spacing w:after="0" w:line="240" w:lineRule="auto"/>
      </w:pPr>
      <w:r>
        <w:separator/>
      </w:r>
    </w:p>
  </w:endnote>
  <w:endnote w:type="continuationSeparator" w:id="1">
    <w:p w:rsidR="00053E8E" w:rsidRDefault="00053E8E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E8E" w:rsidRDefault="00053E8E" w:rsidP="0086685F">
      <w:pPr>
        <w:spacing w:after="0" w:line="240" w:lineRule="auto"/>
      </w:pPr>
      <w:r>
        <w:separator/>
      </w:r>
    </w:p>
  </w:footnote>
  <w:footnote w:type="continuationSeparator" w:id="1">
    <w:p w:rsidR="00053E8E" w:rsidRDefault="00053E8E" w:rsidP="0086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004F4"/>
    <w:rsid w:val="00053E8E"/>
    <w:rsid w:val="00063033"/>
    <w:rsid w:val="000C1956"/>
    <w:rsid w:val="000D6351"/>
    <w:rsid w:val="000E3C3C"/>
    <w:rsid w:val="0017131B"/>
    <w:rsid w:val="001802D6"/>
    <w:rsid w:val="001B2EEC"/>
    <w:rsid w:val="0023300A"/>
    <w:rsid w:val="0025348A"/>
    <w:rsid w:val="002B1E6E"/>
    <w:rsid w:val="00406F4C"/>
    <w:rsid w:val="0041089A"/>
    <w:rsid w:val="004913CD"/>
    <w:rsid w:val="004D0032"/>
    <w:rsid w:val="004D76AE"/>
    <w:rsid w:val="005001C6"/>
    <w:rsid w:val="00543A9F"/>
    <w:rsid w:val="0057241F"/>
    <w:rsid w:val="005A0141"/>
    <w:rsid w:val="005C24CB"/>
    <w:rsid w:val="005D5348"/>
    <w:rsid w:val="006679FF"/>
    <w:rsid w:val="00684067"/>
    <w:rsid w:val="00685426"/>
    <w:rsid w:val="006C3979"/>
    <w:rsid w:val="00761C5D"/>
    <w:rsid w:val="0078115D"/>
    <w:rsid w:val="00795AB3"/>
    <w:rsid w:val="007B35D8"/>
    <w:rsid w:val="007C7D90"/>
    <w:rsid w:val="007E0F69"/>
    <w:rsid w:val="0086685F"/>
    <w:rsid w:val="0089465E"/>
    <w:rsid w:val="008B3098"/>
    <w:rsid w:val="0090311E"/>
    <w:rsid w:val="00926611"/>
    <w:rsid w:val="009E5C67"/>
    <w:rsid w:val="00A25C4B"/>
    <w:rsid w:val="00A33993"/>
    <w:rsid w:val="00A454CF"/>
    <w:rsid w:val="00A6031E"/>
    <w:rsid w:val="00B068E7"/>
    <w:rsid w:val="00B231C6"/>
    <w:rsid w:val="00B80F3C"/>
    <w:rsid w:val="00B81875"/>
    <w:rsid w:val="00BC3995"/>
    <w:rsid w:val="00BE6B02"/>
    <w:rsid w:val="00C54447"/>
    <w:rsid w:val="00C618C8"/>
    <w:rsid w:val="00C71CE8"/>
    <w:rsid w:val="00C85C4D"/>
    <w:rsid w:val="00CE36EF"/>
    <w:rsid w:val="00D53D0D"/>
    <w:rsid w:val="00D91000"/>
    <w:rsid w:val="00DC3111"/>
    <w:rsid w:val="00E203A3"/>
    <w:rsid w:val="00F07A7A"/>
    <w:rsid w:val="00F11123"/>
    <w:rsid w:val="00F86D0E"/>
    <w:rsid w:val="00FB41F6"/>
    <w:rsid w:val="00FD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995"/>
  </w:style>
  <w:style w:type="paragraph" w:styleId="Heading1">
    <w:name w:val="heading 1"/>
    <w:basedOn w:val="Normal"/>
    <w:next w:val="Normal"/>
    <w:link w:val="Heading1Char"/>
    <w:uiPriority w:val="9"/>
    <w:qFormat/>
    <w:rsid w:val="000E3C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5D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E6B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7B35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E3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87</cp:revision>
  <dcterms:created xsi:type="dcterms:W3CDTF">2014-04-08T07:21:00Z</dcterms:created>
  <dcterms:modified xsi:type="dcterms:W3CDTF">2014-04-08T11:23:00Z</dcterms:modified>
</cp:coreProperties>
</file>